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CF" w:rsidRPr="00D17968" w:rsidRDefault="00D17968" w:rsidP="00BB28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968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943600" cy="1638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2ECF" w:rsidRPr="00D17968" w:rsidRDefault="00BE2ECF" w:rsidP="00BB28AA">
      <w:pPr>
        <w:widowControl w:val="0"/>
        <w:spacing w:before="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ECF" w:rsidRPr="00D17968" w:rsidRDefault="00D17968" w:rsidP="00BB2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D17968">
        <w:rPr>
          <w:rFonts w:ascii="Times New Roman" w:eastAsia="Times New Roman" w:hAnsi="Times New Roman" w:cs="Times New Roman"/>
          <w:b/>
          <w:sz w:val="24"/>
          <w:szCs w:val="24"/>
        </w:rPr>
        <w:t>MO-604 Kansas City (MO&amp;KS), Independence, Lee’s Summit/Jackson, Wyandotte Counties</w:t>
      </w:r>
    </w:p>
    <w:p w:rsidR="00BE2ECF" w:rsidRPr="00D17968" w:rsidRDefault="00D17968" w:rsidP="00BB28AA">
      <w:pPr>
        <w:widowControl w:val="0"/>
        <w:spacing w:before="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b/>
          <w:sz w:val="24"/>
          <w:szCs w:val="24"/>
        </w:rPr>
        <w:t>Appeals Policy and Procedure</w:t>
      </w:r>
      <w:r w:rsidR="0024067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bookmarkStart w:id="1" w:name="_GoBack"/>
      <w:bookmarkEnd w:id="1"/>
      <w:r w:rsidRPr="00D17968">
        <w:rPr>
          <w:rFonts w:ascii="Times New Roman" w:eastAsia="Times New Roman" w:hAnsi="Times New Roman" w:cs="Times New Roman"/>
          <w:b/>
          <w:sz w:val="24"/>
          <w:szCs w:val="24"/>
        </w:rPr>
        <w:t xml:space="preserve"> for HUD </w:t>
      </w:r>
      <w:proofErr w:type="spellStart"/>
      <w:r w:rsidRPr="00D17968">
        <w:rPr>
          <w:rFonts w:ascii="Times New Roman" w:eastAsia="Times New Roman" w:hAnsi="Times New Roman" w:cs="Times New Roman"/>
          <w:b/>
          <w:sz w:val="24"/>
          <w:szCs w:val="24"/>
        </w:rPr>
        <w:t>CoC</w:t>
      </w:r>
      <w:proofErr w:type="spellEnd"/>
      <w:r w:rsidRPr="00D17968">
        <w:rPr>
          <w:rFonts w:ascii="Times New Roman" w:eastAsia="Times New Roman" w:hAnsi="Times New Roman" w:cs="Times New Roman"/>
          <w:b/>
          <w:sz w:val="24"/>
          <w:szCs w:val="24"/>
        </w:rPr>
        <w:t xml:space="preserve"> Award Competition</w:t>
      </w:r>
    </w:p>
    <w:p w:rsidR="00BE2ECF" w:rsidRDefault="00BE2ECF" w:rsidP="00BB28AA">
      <w:pPr>
        <w:widowControl w:val="0"/>
        <w:spacing w:before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E370FC" w:rsidTr="00B076F1">
        <w:tc>
          <w:tcPr>
            <w:tcW w:w="2425" w:type="dxa"/>
          </w:tcPr>
          <w:p w:rsidR="00E370FC" w:rsidRPr="00FB73E8" w:rsidRDefault="00E370FC" w:rsidP="00B076F1">
            <w:pPr>
              <w:widowControl w:val="0"/>
              <w:spacing w:before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Original Approval</w:t>
            </w:r>
          </w:p>
        </w:tc>
        <w:tc>
          <w:tcPr>
            <w:tcW w:w="6925" w:type="dxa"/>
          </w:tcPr>
          <w:p w:rsidR="00E370FC" w:rsidRPr="00276EBC" w:rsidRDefault="00E370FC" w:rsidP="00B076F1">
            <w:pPr>
              <w:widowControl w:val="0"/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8/2/2018</w:t>
            </w:r>
          </w:p>
        </w:tc>
      </w:tr>
      <w:tr w:rsidR="00E370FC" w:rsidTr="00B076F1">
        <w:tc>
          <w:tcPr>
            <w:tcW w:w="2425" w:type="dxa"/>
          </w:tcPr>
          <w:p w:rsidR="00E370FC" w:rsidRPr="00FB73E8" w:rsidRDefault="00E370FC" w:rsidP="00B076F1">
            <w:pPr>
              <w:widowControl w:val="0"/>
              <w:spacing w:before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Approved Revisions</w:t>
            </w:r>
          </w:p>
        </w:tc>
        <w:tc>
          <w:tcPr>
            <w:tcW w:w="6925" w:type="dxa"/>
          </w:tcPr>
          <w:p w:rsidR="00E370FC" w:rsidRPr="00276EBC" w:rsidRDefault="00E370FC" w:rsidP="00B076F1">
            <w:pPr>
              <w:widowControl w:val="0"/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70FC" w:rsidRPr="00D17968" w:rsidRDefault="00E370FC" w:rsidP="00BB28AA">
      <w:pPr>
        <w:widowControl w:val="0"/>
        <w:spacing w:before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8AA" w:rsidRDefault="00D17968" w:rsidP="00BB28AA">
      <w:pPr>
        <w:widowControl w:val="0"/>
        <w:spacing w:before="48"/>
        <w:jc w:val="both"/>
        <w:rPr>
          <w:rFonts w:ascii="Times New Roman" w:hAnsi="Times New Roman" w:cs="Times New Roman"/>
          <w:sz w:val="24"/>
          <w:szCs w:val="24"/>
        </w:rPr>
      </w:pPr>
      <w:r w:rsidRPr="00A917D0">
        <w:rPr>
          <w:rFonts w:ascii="Times New Roman" w:eastAsia="Times New Roman" w:hAnsi="Times New Roman" w:cs="Times New Roman"/>
          <w:b/>
          <w:sz w:val="24"/>
          <w:szCs w:val="24"/>
        </w:rPr>
        <w:t>Policy</w:t>
      </w:r>
      <w:r w:rsidRPr="00A917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BB28AA" w:rsidRPr="00A917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28AA" w:rsidRPr="00A917D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B28AA" w:rsidRPr="00A917D0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="00BB28AA" w:rsidRPr="00A917D0">
        <w:rPr>
          <w:rFonts w:ascii="Times New Roman" w:hAnsi="Times New Roman" w:cs="Times New Roman"/>
          <w:sz w:val="24"/>
          <w:szCs w:val="24"/>
        </w:rPr>
        <w:t xml:space="preserve"> notifies project applicants</w:t>
      </w:r>
      <w:r w:rsidR="00986AF9" w:rsidRPr="00A917D0">
        <w:rPr>
          <w:rFonts w:ascii="Times New Roman" w:hAnsi="Times New Roman" w:cs="Times New Roman"/>
          <w:sz w:val="24"/>
          <w:szCs w:val="24"/>
        </w:rPr>
        <w:t xml:space="preserve"> administering a project that has been </w:t>
      </w:r>
      <w:r w:rsidR="00522FE4" w:rsidRPr="00A917D0">
        <w:rPr>
          <w:rFonts w:ascii="Times New Roman" w:hAnsi="Times New Roman" w:cs="Times New Roman"/>
          <w:sz w:val="24"/>
          <w:szCs w:val="24"/>
        </w:rPr>
        <w:t xml:space="preserve">reduced, </w:t>
      </w:r>
      <w:r w:rsidR="00986AF9" w:rsidRPr="00A917D0">
        <w:rPr>
          <w:rFonts w:ascii="Times New Roman" w:hAnsi="Times New Roman" w:cs="Times New Roman"/>
          <w:sz w:val="24"/>
          <w:szCs w:val="24"/>
        </w:rPr>
        <w:t>rejected</w:t>
      </w:r>
      <w:r w:rsidR="00522FE4" w:rsidRPr="00A917D0">
        <w:rPr>
          <w:rFonts w:ascii="Times New Roman" w:hAnsi="Times New Roman" w:cs="Times New Roman"/>
          <w:sz w:val="24"/>
          <w:szCs w:val="24"/>
        </w:rPr>
        <w:t>,</w:t>
      </w:r>
      <w:r w:rsidR="00986AF9" w:rsidRPr="00A917D0">
        <w:rPr>
          <w:rFonts w:ascii="Times New Roman" w:hAnsi="Times New Roman" w:cs="Times New Roman"/>
          <w:sz w:val="24"/>
          <w:szCs w:val="24"/>
        </w:rPr>
        <w:t xml:space="preserve"> or reallocated</w:t>
      </w:r>
      <w:r w:rsidR="00BB28AA" w:rsidRPr="00A917D0">
        <w:rPr>
          <w:rFonts w:ascii="Times New Roman" w:hAnsi="Times New Roman" w:cs="Times New Roman"/>
          <w:sz w:val="24"/>
          <w:szCs w:val="24"/>
        </w:rPr>
        <w:t xml:space="preserve"> in writing and by phone at least 15 days prior </w:t>
      </w:r>
      <w:r w:rsidR="00310F06" w:rsidRPr="00A917D0">
        <w:rPr>
          <w:rFonts w:ascii="Times New Roman" w:hAnsi="Times New Roman" w:cs="Times New Roman"/>
          <w:sz w:val="24"/>
          <w:szCs w:val="24"/>
        </w:rPr>
        <w:t xml:space="preserve">to the HUD application deadline, in accordance with HUD’s NOFA policies and procedures. The notification will include the reasons for the </w:t>
      </w:r>
      <w:r w:rsidR="00522FE4" w:rsidRPr="00A917D0">
        <w:rPr>
          <w:rFonts w:ascii="Times New Roman" w:hAnsi="Times New Roman" w:cs="Times New Roman"/>
          <w:sz w:val="24"/>
          <w:szCs w:val="24"/>
        </w:rPr>
        <w:t xml:space="preserve">reduction, rejection, or </w:t>
      </w:r>
      <w:r w:rsidR="00310F06" w:rsidRPr="00A917D0">
        <w:rPr>
          <w:rFonts w:ascii="Times New Roman" w:hAnsi="Times New Roman" w:cs="Times New Roman"/>
          <w:sz w:val="24"/>
          <w:szCs w:val="24"/>
        </w:rPr>
        <w:t xml:space="preserve">reallocation. </w:t>
      </w:r>
      <w:r w:rsidR="00BB28AA" w:rsidRPr="00A917D0">
        <w:rPr>
          <w:rFonts w:ascii="Times New Roman" w:hAnsi="Times New Roman" w:cs="Times New Roman"/>
          <w:sz w:val="24"/>
          <w:szCs w:val="24"/>
        </w:rPr>
        <w:t xml:space="preserve">Agencies whose </w:t>
      </w:r>
      <w:r w:rsidR="006949BA" w:rsidRPr="00A917D0">
        <w:rPr>
          <w:rFonts w:ascii="Times New Roman" w:hAnsi="Times New Roman" w:cs="Times New Roman"/>
          <w:sz w:val="24"/>
          <w:szCs w:val="24"/>
        </w:rPr>
        <w:t>renewal</w:t>
      </w:r>
      <w:r w:rsidR="00BB28AA" w:rsidRPr="00A917D0">
        <w:rPr>
          <w:rFonts w:ascii="Times New Roman" w:hAnsi="Times New Roman" w:cs="Times New Roman"/>
          <w:sz w:val="24"/>
          <w:szCs w:val="24"/>
        </w:rPr>
        <w:t xml:space="preserve"> project(s) have been rejected and meet one of the policy criteria for appeal may appeal the decision </w:t>
      </w:r>
      <w:r w:rsidR="00C866F5" w:rsidRPr="00A917D0">
        <w:rPr>
          <w:rFonts w:ascii="Times New Roman" w:hAnsi="Times New Roman" w:cs="Times New Roman"/>
          <w:sz w:val="24"/>
          <w:szCs w:val="24"/>
        </w:rPr>
        <w:t xml:space="preserve">within three (3) days of the notification of project rejection </w:t>
      </w:r>
      <w:r w:rsidR="00BB28AA" w:rsidRPr="00A917D0">
        <w:rPr>
          <w:rFonts w:ascii="Times New Roman" w:hAnsi="Times New Roman" w:cs="Times New Roman"/>
          <w:sz w:val="24"/>
          <w:szCs w:val="24"/>
        </w:rPr>
        <w:t>via the process described herein</w:t>
      </w:r>
      <w:r w:rsidR="00BB28AA" w:rsidRPr="00A917D0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​</w:t>
      </w:r>
      <w:r w:rsidR="00BB28AA" w:rsidRPr="00A917D0">
        <w:rPr>
          <w:rFonts w:ascii="Times New Roman" w:hAnsi="Times New Roman" w:cs="Times New Roman"/>
          <w:sz w:val="24"/>
          <w:szCs w:val="24"/>
        </w:rPr>
        <w:t>.</w:t>
      </w:r>
      <w:r w:rsidR="00310F06" w:rsidRPr="00A917D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B28AA" w:rsidRPr="00A917D0">
        <w:rPr>
          <w:rFonts w:ascii="Times New Roman" w:hAnsi="Times New Roman" w:cs="Times New Roman"/>
          <w:sz w:val="24"/>
          <w:szCs w:val="24"/>
        </w:rPr>
        <w:t xml:space="preserve"> </w:t>
      </w:r>
      <w:r w:rsidR="00522FE4" w:rsidRPr="00A917D0">
        <w:rPr>
          <w:rFonts w:ascii="Times New Roman" w:hAnsi="Times New Roman" w:cs="Times New Roman"/>
          <w:sz w:val="24"/>
          <w:szCs w:val="24"/>
        </w:rPr>
        <w:t>This policy is reviewed annual for adherence to the current year’s NOFA.</w:t>
      </w:r>
      <w:r w:rsidR="00522FE4">
        <w:rPr>
          <w:rFonts w:ascii="Times New Roman" w:hAnsi="Times New Roman" w:cs="Times New Roman"/>
          <w:sz w:val="24"/>
          <w:szCs w:val="24"/>
        </w:rPr>
        <w:t xml:space="preserve"> </w:t>
      </w:r>
      <w:r w:rsidR="00BB28AA" w:rsidRPr="00D17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6F5" w:rsidRPr="00D17968" w:rsidRDefault="00C866F5" w:rsidP="00BB28AA">
      <w:pPr>
        <w:widowControl w:val="0"/>
        <w:spacing w:before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8AA" w:rsidRPr="00D17968" w:rsidRDefault="00BB28AA" w:rsidP="00BB28AA">
      <w:pPr>
        <w:widowControl w:val="0"/>
        <w:spacing w:before="4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7968">
        <w:rPr>
          <w:rFonts w:ascii="Times New Roman" w:eastAsia="Times New Roman" w:hAnsi="Times New Roman" w:cs="Times New Roman"/>
          <w:sz w:val="24"/>
          <w:szCs w:val="24"/>
          <w:u w:val="single"/>
        </w:rPr>
        <w:t>Items that CAN be appealed:</w:t>
      </w:r>
    </w:p>
    <w:p w:rsidR="00BB28AA" w:rsidRPr="00D17968" w:rsidRDefault="00BB28AA" w:rsidP="00BB28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>Violation of federal guidelines on the part of GKCCEH or Rank and Review</w:t>
      </w:r>
    </w:p>
    <w:p w:rsidR="00BB28AA" w:rsidRPr="00D17968" w:rsidRDefault="00BB28AA" w:rsidP="00BB28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Violation of </w:t>
      </w:r>
      <w:proofErr w:type="spellStart"/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>CoC</w:t>
      </w:r>
      <w:proofErr w:type="spellEnd"/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written policies on the part of GKCCEH or Rank and Review</w:t>
      </w:r>
    </w:p>
    <w:p w:rsidR="00A917D0" w:rsidRPr="00A917D0" w:rsidRDefault="00A917D0" w:rsidP="00BB28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0">
        <w:rPr>
          <w:rFonts w:ascii="Times New Roman" w:hAnsi="Times New Roman" w:cs="Times New Roman"/>
          <w:color w:val="000000"/>
          <w:sz w:val="24"/>
          <w:szCs w:val="24"/>
        </w:rPr>
        <w:t xml:space="preserve">Data that has not been monitored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GKCCEH </w:t>
      </w:r>
      <w:r w:rsidRPr="00A917D0">
        <w:rPr>
          <w:rFonts w:ascii="Times New Roman" w:hAnsi="Times New Roman" w:cs="Times New Roman"/>
          <w:color w:val="000000"/>
          <w:sz w:val="24"/>
          <w:szCs w:val="24"/>
        </w:rPr>
        <w:t>or submitted to HUD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via the Annual Performance Report (APR)</w:t>
      </w:r>
    </w:p>
    <w:p w:rsidR="00A917D0" w:rsidRPr="00A917D0" w:rsidRDefault="00A917D0" w:rsidP="00BB28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0">
        <w:rPr>
          <w:rFonts w:ascii="Times New Roman" w:hAnsi="Times New Roman" w:cs="Times New Roman"/>
          <w:color w:val="000000"/>
          <w:sz w:val="24"/>
          <w:szCs w:val="24"/>
        </w:rPr>
        <w:t>Participation points (to prove attendance as required by the Participation Requirements for Eligible Applicants policy)</w:t>
      </w:r>
    </w:p>
    <w:p w:rsidR="00BB28AA" w:rsidRPr="00D17968" w:rsidRDefault="00BB28AA" w:rsidP="00BB28AA">
      <w:pPr>
        <w:widowControl w:val="0"/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28AA" w:rsidRPr="00D17968" w:rsidRDefault="00BB28AA" w:rsidP="00BB28AA">
      <w:pPr>
        <w:widowControl w:val="0"/>
        <w:spacing w:before="4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7968">
        <w:rPr>
          <w:rFonts w:ascii="Times New Roman" w:eastAsia="Times New Roman" w:hAnsi="Times New Roman" w:cs="Times New Roman"/>
          <w:sz w:val="24"/>
          <w:szCs w:val="24"/>
          <w:u w:val="single"/>
        </w:rPr>
        <w:t>Items that CANNOT be appealed:</w:t>
      </w:r>
    </w:p>
    <w:p w:rsidR="00BB28AA" w:rsidRPr="00D17968" w:rsidRDefault="00BB28AA" w:rsidP="00BB28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>Errors or omissions on the part of the applicant</w:t>
      </w:r>
    </w:p>
    <w:p w:rsidR="00BB28AA" w:rsidRPr="00D17968" w:rsidRDefault="00BB28AA" w:rsidP="00BB28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>Threshold not met by applicant</w:t>
      </w:r>
    </w:p>
    <w:p w:rsidR="00BB28AA" w:rsidRPr="00D17968" w:rsidRDefault="00BB28AA" w:rsidP="00BB28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>Not attending mandatory trainings outlined in the posted timeline</w:t>
      </w:r>
    </w:p>
    <w:p w:rsidR="00BB28AA" w:rsidRPr="00D17968" w:rsidRDefault="00BB28AA" w:rsidP="00BB28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Missing/late attachments or submission</w:t>
      </w:r>
    </w:p>
    <w:p w:rsidR="00BB28AA" w:rsidRPr="00A917D0" w:rsidRDefault="00BB28AA" w:rsidP="00BB28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7D0">
        <w:rPr>
          <w:rFonts w:ascii="Times New Roman" w:eastAsia="Times New Roman" w:hAnsi="Times New Roman" w:cs="Times New Roman"/>
          <w:color w:val="000000"/>
          <w:sz w:val="24"/>
          <w:szCs w:val="24"/>
        </w:rPr>
        <w:t>Position within Tier structure</w:t>
      </w:r>
      <w:r w:rsidR="007708F7" w:rsidRPr="00A9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17D0" w:rsidRPr="00A917D0" w:rsidRDefault="00A917D0" w:rsidP="00A917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0">
        <w:rPr>
          <w:rFonts w:ascii="Times New Roman" w:hAnsi="Times New Roman" w:cs="Times New Roman"/>
          <w:color w:val="000000"/>
          <w:sz w:val="24"/>
          <w:szCs w:val="24"/>
        </w:rPr>
        <w:t xml:space="preserve">Data that has been monitored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GKCCEH </w:t>
      </w:r>
      <w:r w:rsidRPr="00A917D0">
        <w:rPr>
          <w:rFonts w:ascii="Times New Roman" w:hAnsi="Times New Roman" w:cs="Times New Roman"/>
          <w:color w:val="000000"/>
          <w:sz w:val="24"/>
          <w:szCs w:val="24"/>
        </w:rPr>
        <w:t>or submitted to HUD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via the Annual Performance Report (APR)</w:t>
      </w:r>
    </w:p>
    <w:p w:rsidR="00BB28AA" w:rsidRPr="00D17968" w:rsidRDefault="00BB28AA" w:rsidP="00BB28AA">
      <w:pPr>
        <w:widowControl w:val="0"/>
        <w:spacing w:before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CF" w:rsidRPr="00D17968" w:rsidRDefault="00D17968" w:rsidP="00BB28AA">
      <w:pPr>
        <w:widowControl w:val="0"/>
        <w:spacing w:before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b/>
          <w:sz w:val="24"/>
          <w:szCs w:val="24"/>
        </w:rPr>
        <w:t>Proce</w:t>
      </w:r>
      <w:r w:rsidR="00BB28AA" w:rsidRPr="00D17968">
        <w:rPr>
          <w:rFonts w:ascii="Times New Roman" w:eastAsia="Times New Roman" w:hAnsi="Times New Roman" w:cs="Times New Roman"/>
          <w:b/>
          <w:sz w:val="24"/>
          <w:szCs w:val="24"/>
        </w:rPr>
        <w:t>dures</w:t>
      </w:r>
      <w:r w:rsidRPr="00D179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8AA" w:rsidRPr="00A917D0" w:rsidRDefault="00BB28AA" w:rsidP="00BB28AA">
      <w:pPr>
        <w:pStyle w:val="ListParagraph"/>
        <w:widowControl w:val="0"/>
        <w:numPr>
          <w:ilvl w:val="0"/>
          <w:numId w:val="5"/>
        </w:numPr>
        <w:spacing w:before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D0">
        <w:rPr>
          <w:rFonts w:ascii="Times New Roman" w:eastAsia="Times New Roman" w:hAnsi="Times New Roman" w:cs="Times New Roman"/>
          <w:sz w:val="24"/>
          <w:szCs w:val="24"/>
        </w:rPr>
        <w:t xml:space="preserve">Appeal must be submitted within three (3) days of rejection or reallocation by email to </w:t>
      </w:r>
      <w:r w:rsidR="00A917D0" w:rsidRPr="00A917D0">
        <w:rPr>
          <w:rFonts w:ascii="Times New Roman" w:eastAsia="Times New Roman" w:hAnsi="Times New Roman" w:cs="Times New Roman"/>
          <w:sz w:val="24"/>
          <w:szCs w:val="24"/>
        </w:rPr>
        <w:t xml:space="preserve">the designated </w:t>
      </w:r>
      <w:proofErr w:type="spellStart"/>
      <w:r w:rsidR="00A917D0" w:rsidRPr="00A917D0">
        <w:rPr>
          <w:rFonts w:ascii="Times New Roman" w:eastAsia="Times New Roman" w:hAnsi="Times New Roman" w:cs="Times New Roman"/>
          <w:sz w:val="24"/>
          <w:szCs w:val="24"/>
        </w:rPr>
        <w:t>CoC</w:t>
      </w:r>
      <w:proofErr w:type="spellEnd"/>
      <w:r w:rsidR="00A917D0" w:rsidRPr="00A917D0">
        <w:rPr>
          <w:rFonts w:ascii="Times New Roman" w:eastAsia="Times New Roman" w:hAnsi="Times New Roman" w:cs="Times New Roman"/>
          <w:sz w:val="24"/>
          <w:szCs w:val="24"/>
        </w:rPr>
        <w:t xml:space="preserve"> staff person</w:t>
      </w:r>
      <w:r w:rsidRPr="00A917D0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A917D0">
        <w:rPr>
          <w:rFonts w:ascii="Times New Roman" w:eastAsia="Times New Roman" w:hAnsi="Times New Roman" w:cs="Times New Roman"/>
          <w:sz w:val="24"/>
          <w:szCs w:val="24"/>
        </w:rPr>
        <w:t xml:space="preserve">detailed in the </w:t>
      </w:r>
      <w:proofErr w:type="spellStart"/>
      <w:r w:rsidRPr="00A917D0">
        <w:rPr>
          <w:rFonts w:ascii="Times New Roman" w:eastAsia="Times New Roman" w:hAnsi="Times New Roman" w:cs="Times New Roman"/>
          <w:sz w:val="24"/>
          <w:szCs w:val="24"/>
        </w:rPr>
        <w:t>NoFA</w:t>
      </w:r>
      <w:proofErr w:type="spellEnd"/>
      <w:r w:rsidRPr="00A917D0">
        <w:rPr>
          <w:rFonts w:ascii="Times New Roman" w:eastAsia="Times New Roman" w:hAnsi="Times New Roman" w:cs="Times New Roman"/>
          <w:sz w:val="24"/>
          <w:szCs w:val="24"/>
        </w:rPr>
        <w:t xml:space="preserve"> timeline, published on the </w:t>
      </w:r>
      <w:proofErr w:type="spellStart"/>
      <w:r w:rsidRPr="00A917D0">
        <w:rPr>
          <w:rFonts w:ascii="Times New Roman" w:eastAsia="Times New Roman" w:hAnsi="Times New Roman" w:cs="Times New Roman"/>
          <w:sz w:val="24"/>
          <w:szCs w:val="24"/>
        </w:rPr>
        <w:t>NoFA</w:t>
      </w:r>
      <w:proofErr w:type="spellEnd"/>
      <w:r w:rsidRPr="00A917D0">
        <w:rPr>
          <w:rFonts w:ascii="Times New Roman" w:eastAsia="Times New Roman" w:hAnsi="Times New Roman" w:cs="Times New Roman"/>
          <w:sz w:val="24"/>
          <w:szCs w:val="24"/>
        </w:rPr>
        <w:t xml:space="preserve"> link of www.gkcceh.org. Agencies with valid appeals must do so in writing, on agency letterhead, in no more than 2 pages in length. </w:t>
      </w:r>
    </w:p>
    <w:p w:rsidR="00BB28AA" w:rsidRPr="00D17968" w:rsidRDefault="00BB28AA" w:rsidP="00BB28AA">
      <w:pPr>
        <w:pStyle w:val="ListParagraph"/>
        <w:widowControl w:val="0"/>
        <w:numPr>
          <w:ilvl w:val="0"/>
          <w:numId w:val="5"/>
        </w:num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sz w:val="24"/>
          <w:szCs w:val="24"/>
        </w:rPr>
        <w:t xml:space="preserve">Within three (3) business days of receipt of the appeal:  </w:t>
      </w:r>
    </w:p>
    <w:p w:rsidR="00BB28AA" w:rsidRPr="00D17968" w:rsidRDefault="00BB28AA" w:rsidP="00BB28AA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>A subset of the GKCCEH Board of Directors, called the Board Appeals subcommittee, comprised of a minimum of 3 board members, none of whom shall be service provider staff, will discuss any appeal submitted through the above-mentioned process to review eligibility of the appeal. Eligible appeals will progress on to the Rank and Review Committee for consideration.</w:t>
      </w:r>
    </w:p>
    <w:p w:rsidR="00BB28AA" w:rsidRPr="00D17968" w:rsidRDefault="00BB28AA" w:rsidP="00BB28AA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>Rank and Review, in conjunction with the Board</w:t>
      </w:r>
      <w:r w:rsidRPr="00D17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>Appeals subcommittee, will review the appeal and any supporting documentation provided by the agency and will make a determination as to whether a score and/or ranking decision should be altered based on the appeal.</w:t>
      </w:r>
    </w:p>
    <w:p w:rsidR="00BB28AA" w:rsidRPr="00D17968" w:rsidRDefault="00BB28AA" w:rsidP="00BB28AA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Appeals subcommittee will make final determination and transmit to the Board of Directors for their concurrence.</w:t>
      </w:r>
    </w:p>
    <w:p w:rsidR="00BB28AA" w:rsidRPr="00D17968" w:rsidRDefault="00BB28AA" w:rsidP="00BB28AA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Board’s final decision will be posted on the website for all </w:t>
      </w:r>
      <w:proofErr w:type="spellStart"/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>CoC</w:t>
      </w:r>
      <w:proofErr w:type="spellEnd"/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 and an email message will be sent to the applicant making the appeal. </w:t>
      </w:r>
    </w:p>
    <w:p w:rsidR="00BB28AA" w:rsidRPr="00D17968" w:rsidRDefault="00BB28AA" w:rsidP="00BB28AA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Further appeal is not eligible after the final decision of the Board of Directors, outside of a direct appeal to HUD, as referenced below. </w:t>
      </w:r>
    </w:p>
    <w:p w:rsidR="00BB28AA" w:rsidRPr="00D17968" w:rsidRDefault="00BB28AA" w:rsidP="00BB28AA">
      <w:pPr>
        <w:pStyle w:val="ListParagraph"/>
        <w:widowControl w:val="0"/>
        <w:numPr>
          <w:ilvl w:val="0"/>
          <w:numId w:val="5"/>
        </w:numPr>
        <w:spacing w:before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sz w:val="24"/>
          <w:szCs w:val="24"/>
        </w:rPr>
        <w:t xml:space="preserve">Agencies whose rank may be affected, i.e., those whose recommended ranking is Tier 2, may be notified as a courtesy. Such agencies will not be able to file a local appeal after the 3 day time period to appeal has passed. </w:t>
      </w:r>
    </w:p>
    <w:p w:rsidR="00BB28AA" w:rsidRPr="00D17968" w:rsidRDefault="00BB28AA" w:rsidP="00BB28AA">
      <w:pPr>
        <w:pStyle w:val="ListParagraph"/>
        <w:widowControl w:val="0"/>
        <w:numPr>
          <w:ilvl w:val="0"/>
          <w:numId w:val="5"/>
        </w:numPr>
        <w:spacing w:before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sz w:val="24"/>
          <w:szCs w:val="24"/>
        </w:rPr>
        <w:t xml:space="preserve">Project applicants whose project was rejected may appeal the local </w:t>
      </w:r>
      <w:proofErr w:type="spellStart"/>
      <w:r w:rsidRPr="00D17968">
        <w:rPr>
          <w:rFonts w:ascii="Times New Roman" w:eastAsia="Times New Roman" w:hAnsi="Times New Roman" w:cs="Times New Roman"/>
          <w:sz w:val="24"/>
          <w:szCs w:val="24"/>
        </w:rPr>
        <w:t>CoC</w:t>
      </w:r>
      <w:proofErr w:type="spellEnd"/>
      <w:r w:rsidRPr="00D17968">
        <w:rPr>
          <w:rFonts w:ascii="Times New Roman" w:eastAsia="Times New Roman" w:hAnsi="Times New Roman" w:cs="Times New Roman"/>
          <w:sz w:val="24"/>
          <w:szCs w:val="24"/>
        </w:rPr>
        <w:t xml:space="preserve"> competition decision to HUD if the project applicant believes it was denied the opportunity to participate in the local </w:t>
      </w:r>
      <w:proofErr w:type="spellStart"/>
      <w:r w:rsidRPr="00D17968">
        <w:rPr>
          <w:rFonts w:ascii="Times New Roman" w:eastAsia="Times New Roman" w:hAnsi="Times New Roman" w:cs="Times New Roman"/>
          <w:sz w:val="24"/>
          <w:szCs w:val="24"/>
        </w:rPr>
        <w:t>CoC</w:t>
      </w:r>
      <w:proofErr w:type="spellEnd"/>
      <w:r w:rsidRPr="00D17968">
        <w:rPr>
          <w:rFonts w:ascii="Times New Roman" w:eastAsia="Times New Roman" w:hAnsi="Times New Roman" w:cs="Times New Roman"/>
          <w:sz w:val="24"/>
          <w:szCs w:val="24"/>
        </w:rPr>
        <w:t xml:space="preserve"> planning process in a reasonable manner</w:t>
      </w:r>
      <w:r w:rsidR="00D17968" w:rsidRPr="00D17968">
        <w:rPr>
          <w:rFonts w:ascii="Times New Roman" w:eastAsia="Times New Roman" w:hAnsi="Times New Roman" w:cs="Times New Roman"/>
          <w:sz w:val="24"/>
          <w:szCs w:val="24"/>
        </w:rPr>
        <w:t>. They may do so</w:t>
      </w:r>
      <w:r w:rsidRPr="00D17968">
        <w:rPr>
          <w:rFonts w:ascii="Times New Roman" w:eastAsia="Times New Roman" w:hAnsi="Times New Roman" w:cs="Times New Roman"/>
          <w:sz w:val="24"/>
          <w:szCs w:val="24"/>
        </w:rPr>
        <w:t xml:space="preserve"> by submitting a Solo Application in e-snaps directly to HUD prior to the application deadline. </w:t>
      </w:r>
      <w:r w:rsidR="00D17968" w:rsidRPr="00D179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17968">
        <w:rPr>
          <w:rFonts w:ascii="Times New Roman" w:eastAsia="Times New Roman" w:hAnsi="Times New Roman" w:cs="Times New Roman"/>
          <w:sz w:val="24"/>
          <w:szCs w:val="24"/>
        </w:rPr>
        <w:t>efer to the</w:t>
      </w:r>
      <w:r w:rsidR="00D17968" w:rsidRPr="00D17968">
        <w:rPr>
          <w:rFonts w:ascii="Times New Roman" w:eastAsia="Times New Roman" w:hAnsi="Times New Roman" w:cs="Times New Roman"/>
          <w:sz w:val="24"/>
          <w:szCs w:val="24"/>
        </w:rPr>
        <w:t xml:space="preserve"> current</w:t>
      </w:r>
      <w:r w:rsidRPr="00D17968">
        <w:rPr>
          <w:rFonts w:ascii="Times New Roman" w:eastAsia="Times New Roman" w:hAnsi="Times New Roman" w:cs="Times New Roman"/>
          <w:sz w:val="24"/>
          <w:szCs w:val="24"/>
        </w:rPr>
        <w:t xml:space="preserve"> HUD Continuum of Care NOFA for this process.</w:t>
      </w:r>
    </w:p>
    <w:p w:rsidR="00CC0BEC" w:rsidRPr="00D17968" w:rsidRDefault="00CC0BEC" w:rsidP="00BB28AA">
      <w:pPr>
        <w:widowControl w:val="0"/>
        <w:spacing w:before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8AA" w:rsidRPr="00D17968" w:rsidRDefault="00BB28AA" w:rsidP="00BB28AA">
      <w:pPr>
        <w:widowControl w:val="0"/>
        <w:spacing w:before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8AA" w:rsidRPr="00D17968" w:rsidRDefault="00BB28AA" w:rsidP="00BB28AA">
      <w:pPr>
        <w:widowControl w:val="0"/>
        <w:spacing w:before="4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E2ECF" w:rsidRPr="00D17968" w:rsidRDefault="00D17968" w:rsidP="00BB28AA">
      <w:pPr>
        <w:widowControl w:val="0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E2ECF" w:rsidRPr="00D17968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68" w:rsidRDefault="00D17968" w:rsidP="00D17968">
      <w:pPr>
        <w:spacing w:line="240" w:lineRule="auto"/>
      </w:pPr>
      <w:r>
        <w:separator/>
      </w:r>
    </w:p>
  </w:endnote>
  <w:endnote w:type="continuationSeparator" w:id="0">
    <w:p w:rsidR="00D17968" w:rsidRDefault="00D17968" w:rsidP="00D1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11447027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17968" w:rsidRDefault="001576F2" w:rsidP="001576F2">
        <w:pPr>
          <w:pStyle w:val="Footer"/>
          <w:jc w:val="right"/>
        </w:pPr>
        <w:r w:rsidRPr="00522FE4">
          <w:rPr>
            <w:rFonts w:ascii="Times New Roman" w:hAnsi="Times New Roman" w:cs="Times New Roman"/>
            <w:highlight w:val="yellow"/>
          </w:rPr>
          <w:t xml:space="preserve">Finance and Admin Reviewed/Revised </w:t>
        </w:r>
        <w:r w:rsidR="00522FE4" w:rsidRPr="00522FE4">
          <w:rPr>
            <w:rFonts w:ascii="Times New Roman" w:hAnsi="Times New Roman" w:cs="Times New Roman"/>
            <w:highlight w:val="yellow"/>
          </w:rPr>
          <w:t>8/14/2020</w:t>
        </w:r>
        <w:r w:rsidRPr="00522FE4">
          <w:rPr>
            <w:rFonts w:ascii="Times New Roman" w:hAnsi="Times New Roman" w:cs="Times New Roman"/>
          </w:rPr>
          <w:t xml:space="preserve">, p. </w:t>
        </w:r>
        <w:r w:rsidRPr="00522FE4">
          <w:rPr>
            <w:rFonts w:ascii="Times New Roman" w:hAnsi="Times New Roman" w:cs="Times New Roman"/>
          </w:rPr>
          <w:fldChar w:fldCharType="begin"/>
        </w:r>
        <w:r w:rsidRPr="00522FE4">
          <w:rPr>
            <w:rFonts w:ascii="Times New Roman" w:hAnsi="Times New Roman" w:cs="Times New Roman"/>
          </w:rPr>
          <w:instrText xml:space="preserve"> PAGE   \* MERGEFORMAT </w:instrText>
        </w:r>
        <w:r w:rsidRPr="00522FE4">
          <w:rPr>
            <w:rFonts w:ascii="Times New Roman" w:hAnsi="Times New Roman" w:cs="Times New Roman"/>
          </w:rPr>
          <w:fldChar w:fldCharType="separate"/>
        </w:r>
        <w:r w:rsidR="00240670">
          <w:rPr>
            <w:rFonts w:ascii="Times New Roman" w:hAnsi="Times New Roman" w:cs="Times New Roman"/>
            <w:noProof/>
          </w:rPr>
          <w:t>1</w:t>
        </w:r>
        <w:r w:rsidRPr="00522FE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68" w:rsidRDefault="00D17968" w:rsidP="00D17968">
      <w:pPr>
        <w:spacing w:line="240" w:lineRule="auto"/>
      </w:pPr>
      <w:r>
        <w:separator/>
      </w:r>
    </w:p>
  </w:footnote>
  <w:footnote w:type="continuationSeparator" w:id="0">
    <w:p w:rsidR="00D17968" w:rsidRDefault="00D17968" w:rsidP="00D17968">
      <w:pPr>
        <w:spacing w:line="240" w:lineRule="auto"/>
      </w:pPr>
      <w:r>
        <w:continuationSeparator/>
      </w:r>
    </w:p>
  </w:footnote>
  <w:footnote w:id="1">
    <w:p w:rsidR="00310F06" w:rsidRDefault="00310F06" w:rsidP="00310F06">
      <w:pPr>
        <w:pStyle w:val="BodyText"/>
        <w:spacing w:line="247" w:lineRule="auto"/>
        <w:ind w:left="0" w:right="29" w:firstLine="0"/>
      </w:pPr>
      <w:r w:rsidRPr="00A16E00">
        <w:rPr>
          <w:rStyle w:val="FootnoteReference"/>
        </w:rPr>
        <w:footnoteRef/>
      </w:r>
      <w:r w:rsidRPr="00A16E00">
        <w:t xml:space="preserve"> </w:t>
      </w:r>
      <w:r w:rsidRPr="00A16E00">
        <w:rPr>
          <w:sz w:val="18"/>
          <w:szCs w:val="18"/>
        </w:rPr>
        <w:t>The</w:t>
      </w:r>
      <w:r w:rsidRPr="00A16E00">
        <w:rPr>
          <w:spacing w:val="-2"/>
          <w:sz w:val="18"/>
          <w:szCs w:val="18"/>
        </w:rPr>
        <w:t xml:space="preserve"> </w:t>
      </w:r>
      <w:r w:rsidRPr="00A16E00">
        <w:rPr>
          <w:spacing w:val="-1"/>
          <w:sz w:val="18"/>
          <w:szCs w:val="18"/>
        </w:rPr>
        <w:t>Appeals</w:t>
      </w:r>
      <w:r w:rsidRPr="00A16E00">
        <w:rPr>
          <w:sz w:val="18"/>
          <w:szCs w:val="18"/>
        </w:rPr>
        <w:t xml:space="preserve"> Process with </w:t>
      </w:r>
      <w:r w:rsidRPr="00A16E00">
        <w:rPr>
          <w:spacing w:val="-1"/>
          <w:sz w:val="18"/>
          <w:szCs w:val="18"/>
        </w:rPr>
        <w:t>HUD</w:t>
      </w:r>
      <w:r w:rsidRPr="00A16E00">
        <w:rPr>
          <w:sz w:val="18"/>
          <w:szCs w:val="18"/>
        </w:rPr>
        <w:t xml:space="preserve"> is found </w:t>
      </w:r>
      <w:r w:rsidRPr="00A16E00">
        <w:rPr>
          <w:spacing w:val="-1"/>
          <w:sz w:val="18"/>
          <w:szCs w:val="18"/>
        </w:rPr>
        <w:t>at</w:t>
      </w:r>
      <w:r w:rsidRPr="00A16E00">
        <w:rPr>
          <w:sz w:val="18"/>
          <w:szCs w:val="18"/>
        </w:rPr>
        <w:t xml:space="preserve"> 24 CFR 578.35. </w:t>
      </w:r>
      <w:r w:rsidRPr="00A16E00">
        <w:rPr>
          <w:spacing w:val="-1"/>
          <w:sz w:val="18"/>
          <w:szCs w:val="18"/>
        </w:rPr>
        <w:t>Sections</w:t>
      </w:r>
      <w:r w:rsidRPr="00A16E00">
        <w:rPr>
          <w:sz w:val="18"/>
          <w:szCs w:val="18"/>
        </w:rPr>
        <w:t xml:space="preserve"> </w:t>
      </w:r>
      <w:r w:rsidRPr="00A16E00">
        <w:rPr>
          <w:spacing w:val="-1"/>
          <w:sz w:val="18"/>
          <w:szCs w:val="18"/>
        </w:rPr>
        <w:t>578.35(b)(3),</w:t>
      </w:r>
      <w:r w:rsidRPr="00A16E00">
        <w:rPr>
          <w:spacing w:val="2"/>
          <w:sz w:val="18"/>
          <w:szCs w:val="18"/>
        </w:rPr>
        <w:t xml:space="preserve"> </w:t>
      </w:r>
      <w:r w:rsidRPr="00A16E00">
        <w:rPr>
          <w:sz w:val="18"/>
          <w:szCs w:val="18"/>
        </w:rPr>
        <w:t>(b)(4),</w:t>
      </w:r>
      <w:r w:rsidRPr="00A16E00">
        <w:rPr>
          <w:spacing w:val="1"/>
          <w:sz w:val="18"/>
          <w:szCs w:val="18"/>
        </w:rPr>
        <w:t xml:space="preserve"> </w:t>
      </w:r>
      <w:r w:rsidRPr="00A16E00">
        <w:rPr>
          <w:spacing w:val="-1"/>
          <w:sz w:val="18"/>
          <w:szCs w:val="18"/>
        </w:rPr>
        <w:t>(c)(1),</w:t>
      </w:r>
      <w:r w:rsidRPr="00A16E00">
        <w:rPr>
          <w:sz w:val="18"/>
          <w:szCs w:val="18"/>
        </w:rPr>
        <w:t xml:space="preserve"> and </w:t>
      </w:r>
      <w:r w:rsidRPr="00A16E00">
        <w:rPr>
          <w:spacing w:val="-1"/>
          <w:sz w:val="18"/>
          <w:szCs w:val="18"/>
        </w:rPr>
        <w:t>(d)(2)</w:t>
      </w:r>
      <w:r w:rsidRPr="00A16E00">
        <w:rPr>
          <w:spacing w:val="-2"/>
          <w:sz w:val="18"/>
          <w:szCs w:val="18"/>
        </w:rPr>
        <w:t xml:space="preserve"> </w:t>
      </w:r>
      <w:r w:rsidRPr="00A16E00">
        <w:rPr>
          <w:sz w:val="18"/>
          <w:szCs w:val="18"/>
        </w:rPr>
        <w:t>which authorize</w:t>
      </w:r>
      <w:r w:rsidRPr="00A16E00">
        <w:rPr>
          <w:spacing w:val="-1"/>
          <w:sz w:val="18"/>
          <w:szCs w:val="18"/>
        </w:rPr>
        <w:t xml:space="preserve"> </w:t>
      </w:r>
      <w:r w:rsidRPr="00A16E00">
        <w:rPr>
          <w:sz w:val="18"/>
          <w:szCs w:val="18"/>
        </w:rPr>
        <w:t>HUD</w:t>
      </w:r>
      <w:r w:rsidRPr="00A16E00">
        <w:rPr>
          <w:spacing w:val="-1"/>
          <w:sz w:val="18"/>
          <w:szCs w:val="18"/>
        </w:rPr>
        <w:t xml:space="preserve"> </w:t>
      </w:r>
      <w:r w:rsidRPr="00A16E00">
        <w:rPr>
          <w:sz w:val="18"/>
          <w:szCs w:val="18"/>
        </w:rPr>
        <w:t xml:space="preserve">to </w:t>
      </w:r>
      <w:r w:rsidRPr="00A16E00">
        <w:rPr>
          <w:spacing w:val="-1"/>
          <w:sz w:val="18"/>
          <w:szCs w:val="18"/>
        </w:rPr>
        <w:t>establish</w:t>
      </w:r>
      <w:r w:rsidRPr="00A16E00">
        <w:rPr>
          <w:sz w:val="18"/>
          <w:szCs w:val="18"/>
        </w:rPr>
        <w:t xml:space="preserve"> </w:t>
      </w:r>
      <w:r w:rsidRPr="00A16E00">
        <w:rPr>
          <w:spacing w:val="-1"/>
          <w:sz w:val="18"/>
          <w:szCs w:val="18"/>
        </w:rPr>
        <w:t>requirements</w:t>
      </w:r>
      <w:r w:rsidRPr="00A16E00">
        <w:rPr>
          <w:sz w:val="18"/>
          <w:szCs w:val="18"/>
        </w:rPr>
        <w:t xml:space="preserve"> for</w:t>
      </w:r>
      <w:r w:rsidRPr="00A16E00">
        <w:rPr>
          <w:spacing w:val="-1"/>
          <w:sz w:val="18"/>
          <w:szCs w:val="18"/>
        </w:rPr>
        <w:t xml:space="preserve"> </w:t>
      </w:r>
      <w:r w:rsidRPr="00A16E00">
        <w:rPr>
          <w:sz w:val="18"/>
          <w:szCs w:val="18"/>
        </w:rPr>
        <w:t xml:space="preserve">the form </w:t>
      </w:r>
      <w:r w:rsidRPr="00A16E00">
        <w:rPr>
          <w:spacing w:val="-1"/>
          <w:sz w:val="18"/>
          <w:szCs w:val="18"/>
        </w:rPr>
        <w:t>and</w:t>
      </w:r>
      <w:r w:rsidRPr="00A16E00">
        <w:rPr>
          <w:sz w:val="18"/>
          <w:szCs w:val="18"/>
        </w:rPr>
        <w:t xml:space="preserve"> manner </w:t>
      </w:r>
      <w:r w:rsidRPr="00A16E00">
        <w:rPr>
          <w:spacing w:val="-1"/>
          <w:sz w:val="18"/>
          <w:szCs w:val="18"/>
        </w:rPr>
        <w:t>for</w:t>
      </w:r>
      <w:r w:rsidRPr="00A16E00">
        <w:rPr>
          <w:spacing w:val="1"/>
          <w:sz w:val="18"/>
          <w:szCs w:val="18"/>
        </w:rPr>
        <w:t xml:space="preserve"> </w:t>
      </w:r>
      <w:r w:rsidRPr="00A16E00">
        <w:rPr>
          <w:spacing w:val="-1"/>
          <w:sz w:val="18"/>
          <w:szCs w:val="18"/>
        </w:rPr>
        <w:t>appeals</w:t>
      </w:r>
      <w:r w:rsidRPr="00A16E00">
        <w:rPr>
          <w:sz w:val="18"/>
          <w:szCs w:val="18"/>
        </w:rPr>
        <w:t xml:space="preserve"> by </w:t>
      </w:r>
      <w:r w:rsidRPr="00A16E00">
        <w:rPr>
          <w:spacing w:val="-1"/>
          <w:sz w:val="18"/>
          <w:szCs w:val="18"/>
        </w:rPr>
        <w:t>applicants.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381728"/>
      <w:docPartObj>
        <w:docPartGallery w:val="Watermarks"/>
        <w:docPartUnique/>
      </w:docPartObj>
    </w:sdtPr>
    <w:sdtEndPr/>
    <w:sdtContent>
      <w:p w:rsidR="001576F2" w:rsidRDefault="0024067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382E"/>
    <w:multiLevelType w:val="multilevel"/>
    <w:tmpl w:val="EE82A54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4E5D6D"/>
    <w:multiLevelType w:val="hybridMultilevel"/>
    <w:tmpl w:val="980EEF30"/>
    <w:lvl w:ilvl="0" w:tplc="8B70E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E97"/>
    <w:multiLevelType w:val="hybridMultilevel"/>
    <w:tmpl w:val="642C575C"/>
    <w:lvl w:ilvl="0" w:tplc="67EE7E8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84797"/>
    <w:multiLevelType w:val="multilevel"/>
    <w:tmpl w:val="4190A14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595DD7"/>
    <w:multiLevelType w:val="multilevel"/>
    <w:tmpl w:val="97E239A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557D01"/>
    <w:multiLevelType w:val="hybridMultilevel"/>
    <w:tmpl w:val="C33C8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CF"/>
    <w:rsid w:val="001576F2"/>
    <w:rsid w:val="00240670"/>
    <w:rsid w:val="00276EBC"/>
    <w:rsid w:val="002E173E"/>
    <w:rsid w:val="00310F06"/>
    <w:rsid w:val="00522FE4"/>
    <w:rsid w:val="00610EB4"/>
    <w:rsid w:val="006949BA"/>
    <w:rsid w:val="006C06A3"/>
    <w:rsid w:val="007708F7"/>
    <w:rsid w:val="00823890"/>
    <w:rsid w:val="008300EB"/>
    <w:rsid w:val="00923168"/>
    <w:rsid w:val="00986AF9"/>
    <w:rsid w:val="009D5A77"/>
    <w:rsid w:val="00A16E00"/>
    <w:rsid w:val="00A917D0"/>
    <w:rsid w:val="00AD74C9"/>
    <w:rsid w:val="00BB28AA"/>
    <w:rsid w:val="00BE2ECF"/>
    <w:rsid w:val="00C866F5"/>
    <w:rsid w:val="00CC0BEC"/>
    <w:rsid w:val="00D17968"/>
    <w:rsid w:val="00E370FC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5EC8138-7324-40DA-9D23-7B83D6CA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AD74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968"/>
  </w:style>
  <w:style w:type="paragraph" w:styleId="Footer">
    <w:name w:val="footer"/>
    <w:basedOn w:val="Normal"/>
    <w:link w:val="FooterChar"/>
    <w:uiPriority w:val="99"/>
    <w:unhideWhenUsed/>
    <w:rsid w:val="00D17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968"/>
  </w:style>
  <w:style w:type="paragraph" w:styleId="BodyText">
    <w:name w:val="Body Text"/>
    <w:basedOn w:val="Normal"/>
    <w:link w:val="BodyTextChar"/>
    <w:uiPriority w:val="1"/>
    <w:qFormat/>
    <w:rsid w:val="00986AF9"/>
    <w:pPr>
      <w:widowControl w:val="0"/>
      <w:spacing w:line="240" w:lineRule="auto"/>
      <w:ind w:left="129" w:hanging="36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6AF9"/>
    <w:rPr>
      <w:rFonts w:ascii="Times New Roman" w:eastAsia="Times New Roman" w:hAnsi="Times New Roman" w:cstheme="min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F0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F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0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E906-542B-4751-8625-E7A8B602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Tehani El-Ghussein</dc:creator>
  <cp:lastModifiedBy>Tehani El-Ghussein</cp:lastModifiedBy>
  <cp:revision>6</cp:revision>
  <dcterms:created xsi:type="dcterms:W3CDTF">2020-08-27T15:32:00Z</dcterms:created>
  <dcterms:modified xsi:type="dcterms:W3CDTF">2020-08-27T16:06:00Z</dcterms:modified>
</cp:coreProperties>
</file>